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Comunidad Valenciana</w:t>
      </w:r>
    </w:p>
    <w:p>
      <w:r>
        <w:t>Comunidad Valenciana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19 de marzo</w:t>
            </w:r>
          </w:p>
        </w:tc>
        <w:tc>
          <w:tcPr>
            <w:tcW w:type="dxa" w:w="3324"/>
          </w:tcPr>
          <w:p>
            <w:r>
              <w:t>San José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29 de marzo</w:t>
            </w:r>
          </w:p>
        </w:tc>
        <w:tc>
          <w:tcPr>
            <w:tcW w:type="dxa" w:w="3324"/>
          </w:tcPr>
          <w:p>
            <w:r>
              <w:t>Lunes de Pascua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9 de octubre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Día de la Comunitat Valenciana</w:t>
            </w:r>
          </w:p>
        </w:tc>
        <w:tc>
          <w:tcPr>
            <w:tcW w:type="dxa" w:w="3324"/>
            <w:shd w:val="clear" w:color="auto" w:fill="F1ECE3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252 (sin contar los festivos locales).</w:t>
      </w:r>
    </w:p>
    <w:p>
      <w:r>
        <w:rPr>
          <w:color w:val="6A6370"/>
          <w:sz w:val="17"/>
        </w:rPr>
        <w:t>Fuente: Calendario laboral 2027 aprobado por el Consell (Generalitat Valenciana).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