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Castilla y León</w:t>
      </w:r>
    </w:p>
    <w:p>
      <w:r>
        <w:t>Castilla y León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viernes, 23 de abril</w:t>
            </w:r>
          </w:p>
        </w:tc>
        <w:tc>
          <w:tcPr>
            <w:tcW w:type="dxa" w:w="3324"/>
          </w:tcPr>
          <w:p>
            <w:r>
              <w:t>Fiesta de la Comunidad (Villalar)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16 de agosto</w:t>
            </w:r>
          </w:p>
        </w:tc>
        <w:tc>
          <w:tcPr>
            <w:tcW w:type="dxa" w:w="3324"/>
          </w:tcPr>
          <w:p>
            <w:r>
              <w:t>Lunes siguiente a la Asunción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251 (sin contar los festivos locales).</w:t>
      </w:r>
    </w:p>
    <w:p>
      <w:r>
        <w:rPr>
          <w:color w:val="6A6370"/>
          <w:sz w:val="17"/>
        </w:rPr>
        <w:t>Fuente: Decreto 7/2026 de la Junta de Castilla y León (BOCYL, 30 de marzo de 2026).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