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Andalucía</w:t>
      </w:r>
    </w:p>
    <w:p>
      <w:r>
        <w:t>Andalucía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marzo</w:t>
            </w:r>
          </w:p>
        </w:tc>
        <w:tc>
          <w:tcPr>
            <w:tcW w:type="dxa" w:w="3324"/>
          </w:tcPr>
          <w:p>
            <w:r>
              <w:t>Lunes siguiente al Día de Andalucía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16 de agosto</w:t>
            </w:r>
          </w:p>
        </w:tc>
        <w:tc>
          <w:tcPr>
            <w:tcW w:type="dxa" w:w="3324"/>
          </w:tcPr>
          <w:p>
            <w:r>
              <w:t>Lunes siguiente a la Asunción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84/2026 de la Junta de Andalucía (BOJA nº 84, 5 de mayo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